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59BF2" w14:textId="77777777" w:rsidR="00913A58" w:rsidRDefault="00000000">
      <w:pPr>
        <w:jc w:val="center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bCs/>
          <w:sz w:val="20"/>
          <w:szCs w:val="20"/>
        </w:rPr>
        <w:t>PRILOG II TEHNIČKA SPECIFIKACIJA</w:t>
      </w:r>
    </w:p>
    <w:p w14:paraId="2D6C5467" w14:textId="05011333" w:rsidR="00913A58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Poziv za dostavljanje ponuda za nabavku </w:t>
      </w:r>
      <w:r w:rsidR="00676121" w:rsidRPr="00676121">
        <w:rPr>
          <w:rFonts w:ascii="Proxima Nova" w:eastAsia="Proxima Nova" w:hAnsi="Proxima Nova" w:cs="Proxima Nova"/>
          <w:sz w:val="20"/>
          <w:szCs w:val="20"/>
        </w:rPr>
        <w:t>usluga product menadžera specijalizovanog za mendžment IT projekata</w:t>
      </w:r>
      <w:r w:rsidR="00676121">
        <w:rPr>
          <w:rFonts w:ascii="Proxima Nova" w:eastAsia="Proxima Nova" w:hAnsi="Proxima Nova" w:cs="Proxima Nova"/>
          <w:sz w:val="20"/>
          <w:szCs w:val="20"/>
        </w:rPr>
        <w:t>.</w:t>
      </w:r>
    </w:p>
    <w:p w14:paraId="2FEEC3D1" w14:textId="77777777" w:rsidR="00913A58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Broj nabavke: 01-03</w:t>
      </w:r>
    </w:p>
    <w:p w14:paraId="75DAFEF1" w14:textId="77777777" w:rsidR="00913A58" w:rsidRDefault="00000000">
      <w:pPr>
        <w:jc w:val="both"/>
        <w:rPr>
          <w:rFonts w:ascii="Proxima Nova" w:eastAsia="Proxima Nova" w:hAnsi="Proxima Nova" w:cs="Proxima Nova"/>
          <w:color w:val="2F5496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Tehničke specifikacije sastavni su dio ovog Poziva za dostavljanje ponuda. Ponuda mora zadovoljiti sve tražene tehničke karakteristike, te obuhvatiti sve stavke iz tehničke specifikacije koje predstavljaju minimalne tehničke karakteristike.</w:t>
      </w:r>
    </w:p>
    <w:p w14:paraId="6D735178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Ponuđači su pozvani da popune tabelu na sledećim stranicama:</w:t>
      </w:r>
    </w:p>
    <w:p w14:paraId="7C09546A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•  Kolonu 2 koju popunjava Naručilac prikazuje zahtijevane specifikacije (koje se ne smiju mijenjati od strane ponuđača),</w:t>
      </w:r>
    </w:p>
    <w:p w14:paraId="0CF84F09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• Kolonu 3 treba da popuni ponuđač i treba opisati šta se nudi (na primjer, DA/NE definišući nudi li traženo iz kolone 2, ili opisati model i karakteristike ponuđenog)</w:t>
      </w:r>
    </w:p>
    <w:p w14:paraId="2CFCCEBB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• Kolona 4 omogućava ponuđaču da da komentare o svojoj ponuđenoj isporuci i eventualne reference na dokumentaciju.</w:t>
      </w:r>
    </w:p>
    <w:p w14:paraId="7993BA31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Eventualna dokumentacija koja se dostavi treba jasno da označi (istakne, označi) modele koje se nude i opcije koje su uključene, ako postoje, kako bi evaluatorima bilo jasno koja je tačna konfiguracija. Ponude koje ne omogućavaju precizno identifikovanje modela i specifikacija mogu biti odbijene od strane komisije za evaluaciju.</w:t>
      </w:r>
    </w:p>
    <w:p w14:paraId="335AD6F9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Ponuda mora biti dovoljno jasna da omogući evaluatorima lako upoređivanje između zahtijevanih specifikacija i ponuđenih specifikacija. </w:t>
      </w:r>
    </w:p>
    <w:p w14:paraId="3EF5DAF6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Kolone 1-2 popunjava naručilac.</w:t>
      </w:r>
    </w:p>
    <w:p w14:paraId="78DDD44C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Kolone 3-4 popunjava ponuđač.</w:t>
      </w:r>
    </w:p>
    <w:p w14:paraId="71266C01" w14:textId="77777777" w:rsidR="00913A58" w:rsidRDefault="00000000">
      <w:pPr>
        <w:jc w:val="both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Kako bi se ponuda smatrala valjanom, ponuđeni predmet nabave mora zadovoljiti sve što je traženo u obrascu Tehničkih specifikacija. </w:t>
      </w:r>
    </w:p>
    <w:p w14:paraId="6A0A6111" w14:textId="77777777" w:rsidR="00913A58" w:rsidRDefault="00913A58">
      <w:pPr>
        <w:jc w:val="both"/>
        <w:rPr>
          <w:rFonts w:ascii="Proxima Nova" w:eastAsia="Proxima Nova" w:hAnsi="Proxima Nova" w:cs="Proxima Nova"/>
          <w:color w:val="2F5496"/>
          <w:sz w:val="20"/>
          <w:szCs w:val="20"/>
        </w:rPr>
      </w:pPr>
    </w:p>
    <w:p w14:paraId="2B3AA903" w14:textId="77777777" w:rsidR="00913A58" w:rsidRDefault="00913A58">
      <w:pPr>
        <w:jc w:val="center"/>
        <w:rPr>
          <w:rFonts w:ascii="Proxima Nova" w:eastAsia="Proxima Nova" w:hAnsi="Proxima Nova" w:cs="Proxima Nova"/>
          <w:color w:val="2F5496"/>
          <w:sz w:val="20"/>
          <w:szCs w:val="20"/>
          <w:u w:val="single"/>
        </w:rPr>
      </w:pPr>
    </w:p>
    <w:p w14:paraId="047297C8" w14:textId="77777777" w:rsidR="00913A58" w:rsidRDefault="00913A58">
      <w:pPr>
        <w:jc w:val="center"/>
        <w:rPr>
          <w:rFonts w:ascii="Proxima Nova" w:eastAsia="Proxima Nova" w:hAnsi="Proxima Nova" w:cs="Proxima Nova"/>
          <w:color w:val="2F5496"/>
          <w:sz w:val="20"/>
          <w:szCs w:val="20"/>
          <w:u w:val="single"/>
        </w:rPr>
      </w:pPr>
    </w:p>
    <w:p w14:paraId="5B2F28BE" w14:textId="77777777" w:rsidR="00676121" w:rsidRDefault="00676121">
      <w:pPr>
        <w:jc w:val="center"/>
        <w:rPr>
          <w:rFonts w:ascii="Proxima Nova" w:eastAsia="Proxima Nova" w:hAnsi="Proxima Nova" w:cs="Proxima Nova"/>
          <w:color w:val="2F5496"/>
          <w:sz w:val="20"/>
          <w:szCs w:val="20"/>
          <w:u w:val="single"/>
        </w:rPr>
      </w:pPr>
    </w:p>
    <w:p w14:paraId="3B359645" w14:textId="77777777" w:rsidR="00913A58" w:rsidRDefault="00913A58">
      <w:pPr>
        <w:jc w:val="center"/>
        <w:rPr>
          <w:rFonts w:ascii="Proxima Nova" w:eastAsia="Proxima Nova" w:hAnsi="Proxima Nova" w:cs="Proxima Nova"/>
          <w:color w:val="2F5496"/>
          <w:sz w:val="20"/>
          <w:szCs w:val="20"/>
          <w:u w:val="single"/>
        </w:rPr>
      </w:pPr>
    </w:p>
    <w:tbl>
      <w:tblPr>
        <w:tblStyle w:val="a"/>
        <w:tblW w:w="1491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"/>
        <w:gridCol w:w="5341"/>
        <w:gridCol w:w="5850"/>
        <w:gridCol w:w="2790"/>
      </w:tblGrid>
      <w:tr w:rsidR="00913A58" w14:paraId="6D9418E4" w14:textId="77777777">
        <w:tc>
          <w:tcPr>
            <w:tcW w:w="935" w:type="dxa"/>
          </w:tcPr>
          <w:p w14:paraId="11D29AE7" w14:textId="77777777" w:rsidR="00913A58" w:rsidRDefault="00000000">
            <w:pPr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1. Broj</w:t>
            </w:r>
          </w:p>
        </w:tc>
        <w:tc>
          <w:tcPr>
            <w:tcW w:w="5341" w:type="dxa"/>
          </w:tcPr>
          <w:p w14:paraId="578D4E7B" w14:textId="77777777" w:rsidR="00913A58" w:rsidRDefault="00000000">
            <w:pPr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2.</w:t>
            </w:r>
          </w:p>
          <w:p w14:paraId="6308B839" w14:textId="77777777" w:rsidR="00913A58" w:rsidRDefault="00000000">
            <w:pPr>
              <w:jc w:val="center"/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Opis – zahtijevana specifikacija</w:t>
            </w:r>
          </w:p>
        </w:tc>
        <w:tc>
          <w:tcPr>
            <w:tcW w:w="5850" w:type="dxa"/>
          </w:tcPr>
          <w:p w14:paraId="60903FFE" w14:textId="77777777" w:rsidR="00913A58" w:rsidRDefault="00000000">
            <w:pPr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3.</w:t>
            </w:r>
          </w:p>
          <w:p w14:paraId="18F3D296" w14:textId="77777777" w:rsidR="00913A58" w:rsidRDefault="00000000">
            <w:pPr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Ponuđena specifikacija </w:t>
            </w:r>
          </w:p>
          <w:p w14:paraId="5CE279C4" w14:textId="77777777" w:rsidR="00913A58" w:rsidRDefault="00913A58">
            <w:pPr>
              <w:jc w:val="center"/>
              <w:rPr>
                <w:rFonts w:ascii="Proxima Nova" w:eastAsia="Proxima Nova" w:hAnsi="Proxima Nova" w:cs="Proxima Nova"/>
                <w:color w:val="2F5496"/>
                <w:sz w:val="20"/>
                <w:szCs w:val="20"/>
                <w:u w:val="single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33A9" w14:textId="77777777" w:rsidR="00913A58" w:rsidRDefault="00000000">
            <w:pPr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4.</w:t>
            </w:r>
          </w:p>
          <w:p w14:paraId="26D8C3F8" w14:textId="77777777" w:rsidR="00913A58" w:rsidRDefault="00000000">
            <w:pPr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Bilješke, napomene, </w:t>
            </w:r>
          </w:p>
          <w:p w14:paraId="64E2D862" w14:textId="77777777" w:rsidR="00913A58" w:rsidRDefault="00000000">
            <w:pPr>
              <w:jc w:val="center"/>
              <w:rPr>
                <w:rFonts w:ascii="Proxima Nova" w:eastAsia="Proxima Nova" w:hAnsi="Proxima Nova" w:cs="Proxima Nova"/>
                <w:color w:val="2F5496"/>
                <w:sz w:val="20"/>
                <w:szCs w:val="20"/>
                <w:u w:val="singl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reference na dokumentaciju</w:t>
            </w:r>
          </w:p>
        </w:tc>
      </w:tr>
      <w:tr w:rsidR="00913A58" w14:paraId="3492648A" w14:textId="77777777">
        <w:tc>
          <w:tcPr>
            <w:tcW w:w="935" w:type="dxa"/>
          </w:tcPr>
          <w:p w14:paraId="658BD53E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</w:tc>
        <w:tc>
          <w:tcPr>
            <w:tcW w:w="5341" w:type="dxa"/>
          </w:tcPr>
          <w:p w14:paraId="40809373" w14:textId="77777777" w:rsidR="00913A58" w:rsidRDefault="00000000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Ponuđač obezbjeđuje jednog (1) eksternog eksperta odgovornog za pružanje usluga definisanih ovom Tehničkom specifikacijom.</w:t>
            </w:r>
          </w:p>
        </w:tc>
        <w:tc>
          <w:tcPr>
            <w:tcW w:w="5850" w:type="dxa"/>
          </w:tcPr>
          <w:p w14:paraId="1FA57A25" w14:textId="77777777" w:rsidR="00913A58" w:rsidRDefault="00913A58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2A4BAF57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507FB1AF" w14:textId="77777777">
        <w:tc>
          <w:tcPr>
            <w:tcW w:w="935" w:type="dxa"/>
          </w:tcPr>
          <w:p w14:paraId="6F27C3FE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2</w:t>
            </w:r>
          </w:p>
        </w:tc>
        <w:tc>
          <w:tcPr>
            <w:tcW w:w="5341" w:type="dxa"/>
          </w:tcPr>
          <w:p w14:paraId="6396DA83" w14:textId="77777777" w:rsidR="00913A58" w:rsidRDefault="00000000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Ukupan angažman eksperta je ograničen na maksimalno 140 radnih dana (1 radni dan = angažman do 8 radnih sati), u periodu trajanja ugovora.</w:t>
            </w:r>
          </w:p>
        </w:tc>
        <w:tc>
          <w:tcPr>
            <w:tcW w:w="5850" w:type="dxa"/>
          </w:tcPr>
          <w:p w14:paraId="2D49BB84" w14:textId="77777777" w:rsidR="00913A58" w:rsidRDefault="00913A58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00AB8E53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3A9F45FF" w14:textId="77777777">
        <w:tc>
          <w:tcPr>
            <w:tcW w:w="935" w:type="dxa"/>
          </w:tcPr>
          <w:p w14:paraId="4DD074DF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</w:t>
            </w:r>
          </w:p>
        </w:tc>
        <w:tc>
          <w:tcPr>
            <w:tcW w:w="5341" w:type="dxa"/>
          </w:tcPr>
          <w:p w14:paraId="51205C56" w14:textId="77777777" w:rsidR="00913A58" w:rsidRDefault="00000000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Usluga se pruža u sjedištu naručioca i/ili online (kombinovani režim), uz obavezu ponuđača da organizuje rad tako da se obezbijedi kontinuitet podrške R&amp;D timu.</w:t>
            </w:r>
          </w:p>
        </w:tc>
        <w:tc>
          <w:tcPr>
            <w:tcW w:w="5850" w:type="dxa"/>
          </w:tcPr>
          <w:p w14:paraId="61833A76" w14:textId="77777777" w:rsidR="00913A58" w:rsidRDefault="00913A58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0266BE4D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3598EB8A" w14:textId="77777777">
        <w:tc>
          <w:tcPr>
            <w:tcW w:w="935" w:type="dxa"/>
          </w:tcPr>
          <w:p w14:paraId="0B4D200F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4</w:t>
            </w:r>
          </w:p>
        </w:tc>
        <w:tc>
          <w:tcPr>
            <w:tcW w:w="5341" w:type="dxa"/>
          </w:tcPr>
          <w:p w14:paraId="28D39074" w14:textId="77777777" w:rsidR="00913A58" w:rsidRDefault="00000000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Ekspert sprovodi inicijalni sastanak sa naručiocem i R&amp;D timom i definiše inicijalni plan rada (aktivnosti, komunikacija, inicijalni rizici).</w:t>
            </w:r>
          </w:p>
        </w:tc>
        <w:tc>
          <w:tcPr>
            <w:tcW w:w="5850" w:type="dxa"/>
          </w:tcPr>
          <w:p w14:paraId="57598409" w14:textId="77777777" w:rsidR="00913A58" w:rsidRDefault="00913A58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202B3B91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427D8426" w14:textId="77777777">
        <w:tc>
          <w:tcPr>
            <w:tcW w:w="935" w:type="dxa"/>
          </w:tcPr>
          <w:p w14:paraId="4690DA02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5</w:t>
            </w:r>
          </w:p>
        </w:tc>
        <w:tc>
          <w:tcPr>
            <w:tcW w:w="5341" w:type="dxa"/>
          </w:tcPr>
          <w:p w14:paraId="3E086681" w14:textId="77777777" w:rsidR="00913A58" w:rsidRDefault="00000000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Ekspert vrši inicijalnu analizu postojećeg procesa rada R&amp;D tima i procesa razvoja AI agenata i dostavlja izvještaj o nalazima i preporukama za unapređenje.</w:t>
            </w:r>
          </w:p>
        </w:tc>
        <w:tc>
          <w:tcPr>
            <w:tcW w:w="5850" w:type="dxa"/>
          </w:tcPr>
          <w:p w14:paraId="63512C4B" w14:textId="77777777" w:rsidR="00913A58" w:rsidRDefault="00913A58">
            <w:pPr>
              <w:spacing w:after="160" w:line="259" w:lineRule="auto"/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3C1D1363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08ECC62A" w14:textId="77777777">
        <w:tc>
          <w:tcPr>
            <w:tcW w:w="935" w:type="dxa"/>
          </w:tcPr>
          <w:p w14:paraId="64436EB5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6</w:t>
            </w:r>
          </w:p>
        </w:tc>
        <w:tc>
          <w:tcPr>
            <w:tcW w:w="5341" w:type="dxa"/>
          </w:tcPr>
          <w:p w14:paraId="09FB0BD8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Ekspert predlaže i uspostavlja (ili unapređuje postojeći) Agile okvir rada (Scrum/Kanban/hibrid) koji je primjenjiv na razvoj softvera i AI agenata.</w:t>
            </w:r>
          </w:p>
        </w:tc>
        <w:tc>
          <w:tcPr>
            <w:tcW w:w="5850" w:type="dxa"/>
          </w:tcPr>
          <w:p w14:paraId="7F021B22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0ED7D400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02BD0C82" w14:textId="77777777">
        <w:tc>
          <w:tcPr>
            <w:tcW w:w="935" w:type="dxa"/>
          </w:tcPr>
          <w:p w14:paraId="7E7AFBA4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7</w:t>
            </w:r>
          </w:p>
        </w:tc>
        <w:tc>
          <w:tcPr>
            <w:tcW w:w="5341" w:type="dxa"/>
          </w:tcPr>
          <w:p w14:paraId="4F14C03B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Ekspert definiše i/ili unapređuje strukturu backlog‑a (npr. epics/features/stories), pravila prioritizacije i način održavanja backlog‑a.</w:t>
            </w:r>
          </w:p>
        </w:tc>
        <w:tc>
          <w:tcPr>
            <w:tcW w:w="5850" w:type="dxa"/>
          </w:tcPr>
          <w:p w14:paraId="6A1F88CC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56CFF37E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6B24286F" w14:textId="77777777">
        <w:tc>
          <w:tcPr>
            <w:tcW w:w="935" w:type="dxa"/>
          </w:tcPr>
          <w:p w14:paraId="299581A3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8</w:t>
            </w:r>
          </w:p>
        </w:tc>
        <w:tc>
          <w:tcPr>
            <w:tcW w:w="5341" w:type="dxa"/>
          </w:tcPr>
          <w:p w14:paraId="679B1CB6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Ekspert definiše iterativni ciklus isporuke (npr. sprint cadence) uključujući minimalno: planiranje, praćenje napretka, pregled isporuka i retrospektivu (ili ekvivalent).</w:t>
            </w:r>
          </w:p>
        </w:tc>
        <w:tc>
          <w:tcPr>
            <w:tcW w:w="5850" w:type="dxa"/>
          </w:tcPr>
          <w:p w14:paraId="44A9626F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313220E1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6822BF6F" w14:textId="77777777">
        <w:tc>
          <w:tcPr>
            <w:tcW w:w="935" w:type="dxa"/>
          </w:tcPr>
          <w:p w14:paraId="65301C37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9</w:t>
            </w:r>
          </w:p>
        </w:tc>
        <w:tc>
          <w:tcPr>
            <w:tcW w:w="5341" w:type="dxa"/>
          </w:tcPr>
          <w:p w14:paraId="01B7476C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Ekspert definiše uloge i odgovornosti aktera (naručilac, R&amp;D tim, produkt/delivery uloge) kroz RACI matricu ili ekvivalentan jasan opis odgovornosti.</w:t>
            </w:r>
          </w:p>
        </w:tc>
        <w:tc>
          <w:tcPr>
            <w:tcW w:w="5850" w:type="dxa"/>
          </w:tcPr>
          <w:p w14:paraId="6F3B9AC0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5CACB182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0994EE12" w14:textId="77777777">
        <w:tc>
          <w:tcPr>
            <w:tcW w:w="935" w:type="dxa"/>
          </w:tcPr>
          <w:p w14:paraId="18170528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  <w:r w:rsidR="00314386">
              <w:rPr>
                <w:rFonts w:ascii="Proxima Nova" w:eastAsia="Proxima Nova" w:hAnsi="Proxima Nova" w:cs="Proxima Nova"/>
                <w:sz w:val="20"/>
                <w:szCs w:val="20"/>
              </w:rPr>
              <w:t>0</w:t>
            </w:r>
          </w:p>
        </w:tc>
        <w:tc>
          <w:tcPr>
            <w:tcW w:w="5341" w:type="dxa"/>
          </w:tcPr>
          <w:p w14:paraId="462D7E5D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Ekspert uspostavlja i vodi evidenciju rizika (risk log) sa definisanim načinom eskalacije i mjerama ublažavanja.</w:t>
            </w:r>
          </w:p>
        </w:tc>
        <w:tc>
          <w:tcPr>
            <w:tcW w:w="5850" w:type="dxa"/>
          </w:tcPr>
          <w:p w14:paraId="5A557D6A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1CB93E3A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5A663137" w14:textId="77777777">
        <w:tc>
          <w:tcPr>
            <w:tcW w:w="935" w:type="dxa"/>
          </w:tcPr>
          <w:p w14:paraId="317DE874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  <w:r w:rsidR="00314386"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</w:tc>
        <w:tc>
          <w:tcPr>
            <w:tcW w:w="5341" w:type="dxa"/>
          </w:tcPr>
          <w:p w14:paraId="464B81A8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Ekspert definiše minimalne kontrole kvaliteta isporuka (npr. Definition of Done ili ekvivalent), uključujući pravila za review, testiranje i prihvat isporuka.</w:t>
            </w:r>
          </w:p>
        </w:tc>
        <w:tc>
          <w:tcPr>
            <w:tcW w:w="5850" w:type="dxa"/>
          </w:tcPr>
          <w:p w14:paraId="59B9E9DD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4C4DA956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2EE7B98C" w14:textId="77777777">
        <w:tc>
          <w:tcPr>
            <w:tcW w:w="935" w:type="dxa"/>
          </w:tcPr>
          <w:p w14:paraId="1D7AF72E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  <w:r w:rsidR="00314386">
              <w:rPr>
                <w:rFonts w:ascii="Proxima Nova" w:eastAsia="Proxima Nova" w:hAnsi="Proxima Nova" w:cs="Proxima Nova"/>
                <w:sz w:val="20"/>
                <w:szCs w:val="20"/>
              </w:rPr>
              <w:t>2</w:t>
            </w:r>
          </w:p>
        </w:tc>
        <w:tc>
          <w:tcPr>
            <w:tcW w:w="5341" w:type="dxa"/>
          </w:tcPr>
          <w:p w14:paraId="11695E47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Ekspert definiše i/ili unapređuje proces razvoja AI agenata kroz jasne faze (od definicije zahtjeva do isporuke/puštanja u rad), sa odgovornostima i kontrolnim tačkama.</w:t>
            </w:r>
          </w:p>
        </w:tc>
        <w:tc>
          <w:tcPr>
            <w:tcW w:w="5850" w:type="dxa"/>
          </w:tcPr>
          <w:p w14:paraId="125296F9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05768562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10DD6FB2" w14:textId="77777777">
        <w:tc>
          <w:tcPr>
            <w:tcW w:w="935" w:type="dxa"/>
          </w:tcPr>
          <w:p w14:paraId="0AC60B80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  <w:r w:rsidR="00314386">
              <w:rPr>
                <w:rFonts w:ascii="Proxima Nova" w:eastAsia="Proxima Nova" w:hAnsi="Proxima Nova" w:cs="Proxima Nova"/>
                <w:sz w:val="20"/>
                <w:szCs w:val="20"/>
              </w:rPr>
              <w:t>3</w:t>
            </w:r>
          </w:p>
        </w:tc>
        <w:tc>
          <w:tcPr>
            <w:tcW w:w="5341" w:type="dxa"/>
          </w:tcPr>
          <w:p w14:paraId="6AB3E698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Ekspert definiše najmanje tri (3) mjerljive metrike/KPI za praćenje efikasnosti procesa i izvještava o trendu/napretku u periodičnim izvještajima.</w:t>
            </w:r>
          </w:p>
        </w:tc>
        <w:tc>
          <w:tcPr>
            <w:tcW w:w="5850" w:type="dxa"/>
          </w:tcPr>
          <w:p w14:paraId="12A23ECC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754FC8F6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75C05BDB" w14:textId="77777777">
        <w:tc>
          <w:tcPr>
            <w:tcW w:w="935" w:type="dxa"/>
          </w:tcPr>
          <w:p w14:paraId="1A12A98D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  <w:r w:rsidR="00314386">
              <w:rPr>
                <w:rFonts w:ascii="Proxima Nova" w:eastAsia="Proxima Nova" w:hAnsi="Proxima Nova" w:cs="Proxima Nova"/>
                <w:sz w:val="20"/>
                <w:szCs w:val="20"/>
              </w:rPr>
              <w:t>4</w:t>
            </w:r>
          </w:p>
        </w:tc>
        <w:tc>
          <w:tcPr>
            <w:tcW w:w="5341" w:type="dxa"/>
          </w:tcPr>
          <w:p w14:paraId="58FF4E4D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Ekspert obezbjeđuje kontinuiranu savjetodavnu podršku i mentorstvo članovima R&amp;D tima radi unapređenja Agile praksi i organizacije rada.</w:t>
            </w:r>
          </w:p>
        </w:tc>
        <w:tc>
          <w:tcPr>
            <w:tcW w:w="5850" w:type="dxa"/>
          </w:tcPr>
          <w:p w14:paraId="556BD622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2502C15A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1C21FAB3" w14:textId="77777777">
        <w:tc>
          <w:tcPr>
            <w:tcW w:w="935" w:type="dxa"/>
          </w:tcPr>
          <w:p w14:paraId="6F90C94E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  <w:r w:rsidR="00314386">
              <w:rPr>
                <w:rFonts w:ascii="Proxima Nova" w:eastAsia="Proxima Nova" w:hAnsi="Proxima Nova" w:cs="Proxima Nova"/>
                <w:sz w:val="20"/>
                <w:szCs w:val="20"/>
              </w:rPr>
              <w:t>5</w:t>
            </w:r>
          </w:p>
        </w:tc>
        <w:tc>
          <w:tcPr>
            <w:tcW w:w="5341" w:type="dxa"/>
          </w:tcPr>
          <w:p w14:paraId="2087B325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Ekspert sprovodi najmanje dvije (2) strukturirane radionice/trening sesije tokom trajanja angažmana (teme: Agile proces, kvalitet/DoD, upravljanje isporukama ili ekvivalent).</w:t>
            </w:r>
          </w:p>
        </w:tc>
        <w:tc>
          <w:tcPr>
            <w:tcW w:w="5850" w:type="dxa"/>
          </w:tcPr>
          <w:p w14:paraId="10F04505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6C949B98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7D9E2AF9" w14:textId="77777777">
        <w:tc>
          <w:tcPr>
            <w:tcW w:w="935" w:type="dxa"/>
          </w:tcPr>
          <w:p w14:paraId="5E9B6ED5" w14:textId="77777777" w:rsidR="00913A58" w:rsidRDefault="00314386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16</w:t>
            </w:r>
          </w:p>
        </w:tc>
        <w:tc>
          <w:tcPr>
            <w:tcW w:w="5341" w:type="dxa"/>
          </w:tcPr>
          <w:p w14:paraId="0BF7B800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Ekspert dostavlja periodične izvještaje o napretku u skladu sa stavkom 10, uključujući: realizovane aktivnosti, status deliverables, rizike i predložene mjere.</w:t>
            </w:r>
          </w:p>
        </w:tc>
        <w:tc>
          <w:tcPr>
            <w:tcW w:w="5850" w:type="dxa"/>
          </w:tcPr>
          <w:p w14:paraId="395A8A94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61831A8B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41AC2956" w14:textId="77777777">
        <w:tc>
          <w:tcPr>
            <w:tcW w:w="935" w:type="dxa"/>
          </w:tcPr>
          <w:p w14:paraId="37E3828D" w14:textId="77777777" w:rsidR="00913A58" w:rsidRDefault="00314386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17</w:t>
            </w:r>
          </w:p>
        </w:tc>
        <w:tc>
          <w:tcPr>
            <w:tcW w:w="5341" w:type="dxa"/>
          </w:tcPr>
          <w:p w14:paraId="2E142ADF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Ekspert dostavlja završni izvještaj o angažmanu koji sadrži: sažetak realizacije, postignute rezultate, uočene rizike/ograničenja i preporuke za naredni period.</w:t>
            </w:r>
          </w:p>
        </w:tc>
        <w:tc>
          <w:tcPr>
            <w:tcW w:w="5850" w:type="dxa"/>
          </w:tcPr>
          <w:p w14:paraId="56BD8A12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4066C54E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66BB8EFB" w14:textId="77777777">
        <w:tc>
          <w:tcPr>
            <w:tcW w:w="935" w:type="dxa"/>
          </w:tcPr>
          <w:p w14:paraId="04BAA695" w14:textId="77777777" w:rsidR="00913A58" w:rsidRDefault="00314386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18</w:t>
            </w:r>
          </w:p>
        </w:tc>
        <w:tc>
          <w:tcPr>
            <w:tcW w:w="5341" w:type="dxa"/>
          </w:tcPr>
          <w:p w14:paraId="0795498C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Ponuđač je obavezan da u metodološkom dokumentu uključi “matricu usklađenosti” koja mapira svaku stavku ove Tehničke specifikacije (1–25) na relevantno poglavlje i broj strane metodologije.</w:t>
            </w:r>
          </w:p>
        </w:tc>
        <w:tc>
          <w:tcPr>
            <w:tcW w:w="5850" w:type="dxa"/>
          </w:tcPr>
          <w:p w14:paraId="053321CE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15A49A2E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68A6DD74" w14:textId="77777777">
        <w:tc>
          <w:tcPr>
            <w:tcW w:w="935" w:type="dxa"/>
          </w:tcPr>
          <w:p w14:paraId="44691CD5" w14:textId="77777777" w:rsidR="00913A58" w:rsidRDefault="00314386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19</w:t>
            </w:r>
          </w:p>
        </w:tc>
        <w:tc>
          <w:tcPr>
            <w:tcW w:w="5341" w:type="dxa"/>
          </w:tcPr>
          <w:p w14:paraId="0F83F591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Metodološki dokument mora biti jasno strukturiran (naslovi/podnaslovi) i imati numerisane stranice kako bi se omogućila jednoznačna provjera referenci iz stavke 23.</w:t>
            </w:r>
          </w:p>
        </w:tc>
        <w:tc>
          <w:tcPr>
            <w:tcW w:w="5850" w:type="dxa"/>
          </w:tcPr>
          <w:p w14:paraId="54707B84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7A3F477F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  <w:tr w:rsidR="00913A58" w14:paraId="3A5277A8" w14:textId="77777777">
        <w:tc>
          <w:tcPr>
            <w:tcW w:w="935" w:type="dxa"/>
          </w:tcPr>
          <w:p w14:paraId="648A90F7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2</w:t>
            </w:r>
            <w:r w:rsidR="00314386">
              <w:rPr>
                <w:rFonts w:ascii="Proxima Nova" w:eastAsia="Proxima Nova" w:hAnsi="Proxima Nova" w:cs="Proxima Nova"/>
                <w:sz w:val="20"/>
                <w:szCs w:val="20"/>
              </w:rPr>
              <w:t>0</w:t>
            </w:r>
          </w:p>
        </w:tc>
        <w:tc>
          <w:tcPr>
            <w:tcW w:w="5341" w:type="dxa"/>
          </w:tcPr>
          <w:p w14:paraId="32E84E2A" w14:textId="77777777" w:rsidR="00913A58" w:rsidRDefault="00000000">
            <w:pPr>
              <w:jc w:val="both"/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color w:val="0D0D0D"/>
                <w:sz w:val="20"/>
                <w:szCs w:val="20"/>
                <w:highlight w:val="white"/>
              </w:rPr>
              <w:t>Ponuđač potvrđuje da će, na zahtjev naručioca, dostaviti pisana pojašnjenja i/ili dodatne potvrde radi provjere navoda iz ponude, bez suštinske izmjene ponude.</w:t>
            </w:r>
          </w:p>
        </w:tc>
        <w:tc>
          <w:tcPr>
            <w:tcW w:w="5850" w:type="dxa"/>
          </w:tcPr>
          <w:p w14:paraId="150B7375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  <w:tc>
          <w:tcPr>
            <w:tcW w:w="2790" w:type="dxa"/>
          </w:tcPr>
          <w:p w14:paraId="73590CF1" w14:textId="77777777" w:rsidR="00913A58" w:rsidRDefault="00913A58">
            <w:pPr>
              <w:jc w:val="both"/>
              <w:rPr>
                <w:rFonts w:ascii="Proxima Nova" w:eastAsia="Proxima Nova" w:hAnsi="Proxima Nova" w:cs="Proxima Nova"/>
                <w:color w:val="2F5496"/>
                <w:sz w:val="20"/>
                <w:szCs w:val="20"/>
              </w:rPr>
            </w:pPr>
          </w:p>
        </w:tc>
      </w:tr>
    </w:tbl>
    <w:p w14:paraId="08C5367C" w14:textId="77777777" w:rsidR="00913A58" w:rsidRDefault="00913A58">
      <w:pPr>
        <w:jc w:val="center"/>
        <w:rPr>
          <w:rFonts w:ascii="Proxima Nova" w:eastAsia="Proxima Nova" w:hAnsi="Proxima Nova" w:cs="Proxima Nova"/>
          <w:sz w:val="20"/>
          <w:szCs w:val="20"/>
        </w:rPr>
      </w:pPr>
    </w:p>
    <w:sectPr w:rsidR="00913A58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4CFE2" w14:textId="77777777" w:rsidR="00C67E8F" w:rsidRDefault="00C67E8F">
      <w:pPr>
        <w:spacing w:after="0" w:line="240" w:lineRule="auto"/>
      </w:pPr>
      <w:r>
        <w:separator/>
      </w:r>
    </w:p>
  </w:endnote>
  <w:endnote w:type="continuationSeparator" w:id="0">
    <w:p w14:paraId="36EB71AF" w14:textId="77777777" w:rsidR="00C67E8F" w:rsidRDefault="00C67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C1803-5402-4D3B-876D-DFB5F5BC483A}"/>
    <w:embedBold r:id="rId2" w:fontKey="{AEC4C174-C671-45F8-ADB5-FCCB4CFFCE90}"/>
    <w:embedItalic r:id="rId3" w:fontKey="{2955674B-664C-4FB0-AC0E-75181CEDEE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510DFAD-90D5-43CA-8589-36BD48479D89}"/>
  </w:font>
  <w:font w:name="Proxima Nova">
    <w:charset w:val="00"/>
    <w:family w:val="auto"/>
    <w:pitch w:val="default"/>
    <w:embedRegular r:id="rId5" w:fontKey="{CA91C6AD-F311-4776-B131-2299FE9A57FA}"/>
    <w:embedBold r:id="rId6" w:fontKey="{11A61239-883C-4B10-BAF0-56D8B463AB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49D897-9093-43E2-A537-C6B07D533F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15E96" w14:textId="77777777" w:rsidR="00913A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4386">
      <w:rPr>
        <w:noProof/>
        <w:color w:val="000000"/>
      </w:rPr>
      <w:t>1</w:t>
    </w:r>
    <w:r>
      <w:rPr>
        <w:color w:val="000000"/>
      </w:rPr>
      <w:fldChar w:fldCharType="end"/>
    </w:r>
  </w:p>
  <w:tbl>
    <w:tblPr>
      <w:tblStyle w:val="a0"/>
      <w:tblW w:w="1352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3"/>
      <w:gridCol w:w="11528"/>
    </w:tblGrid>
    <w:tr w:rsidR="00913A58" w14:paraId="387BB06E" w14:textId="77777777">
      <w:trPr>
        <w:trHeight w:val="757"/>
      </w:trPr>
      <w:tc>
        <w:tcPr>
          <w:tcW w:w="1993" w:type="dxa"/>
        </w:tcPr>
        <w:p w14:paraId="73969B39" w14:textId="77777777" w:rsidR="00913A58" w:rsidRDefault="00000000">
          <w:pPr>
            <w:tabs>
              <w:tab w:val="center" w:pos="4536"/>
              <w:tab w:val="right" w:pos="9072"/>
            </w:tabs>
            <w:jc w:val="both"/>
          </w:pPr>
          <w:bookmarkStart w:id="0" w:name="_heading=h.5bu5jauoii5c" w:colFirst="0" w:colLast="0"/>
          <w:bookmarkEnd w:id="0"/>
          <w:r>
            <w:rPr>
              <w:noProof/>
            </w:rPr>
            <w:drawing>
              <wp:inline distT="0" distB="0" distL="0" distR="0" wp14:anchorId="2E67FB7B" wp14:editId="662768FC">
                <wp:extent cx="701040" cy="353695"/>
                <wp:effectExtent l="0" t="0" r="0" b="0"/>
                <wp:docPr id="181283226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3536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28" w:type="dxa"/>
        </w:tcPr>
        <w:p w14:paraId="73CDC7EC" w14:textId="77777777" w:rsidR="00913A58" w:rsidRDefault="00000000">
          <w:pPr>
            <w:tabs>
              <w:tab w:val="center" w:pos="4536"/>
              <w:tab w:val="right" w:pos="9072"/>
            </w:tabs>
            <w:jc w:val="both"/>
            <w:rPr>
              <w:sz w:val="18"/>
              <w:szCs w:val="18"/>
            </w:rPr>
          </w:pPr>
          <w:r>
            <w:rPr>
              <w:color w:val="7030A0"/>
              <w:sz w:val="18"/>
              <w:szCs w:val="18"/>
            </w:rPr>
            <w:t>Projekat je sufinansiran od strane Fonda za inovacije Crne Gore u okviru „</w:t>
          </w:r>
          <w:r>
            <w:rPr>
              <w:i/>
              <w:iCs/>
              <w:color w:val="7030A0"/>
              <w:sz w:val="18"/>
              <w:szCs w:val="18"/>
            </w:rPr>
            <w:t xml:space="preserve">Programa za podsticanje inovacija u funkciji energetske efikasnosti u industriji“. </w:t>
          </w:r>
          <w:r>
            <w:rPr>
              <w:color w:val="7030A0"/>
              <w:sz w:val="18"/>
              <w:szCs w:val="18"/>
            </w:rPr>
            <w:t>Ovaj dokument sadrži stavove i mišljenje autora i Fond za inovacije Crne Gore se ne može smatrati odgovornim za njega.</w:t>
          </w:r>
        </w:p>
      </w:tc>
    </w:tr>
  </w:tbl>
  <w:p w14:paraId="7C2C4400" w14:textId="77777777" w:rsidR="00913A58" w:rsidRDefault="00913A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0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A3A98" w14:textId="77777777" w:rsidR="00C67E8F" w:rsidRDefault="00C67E8F">
      <w:pPr>
        <w:spacing w:after="0" w:line="240" w:lineRule="auto"/>
      </w:pPr>
      <w:r>
        <w:separator/>
      </w:r>
    </w:p>
  </w:footnote>
  <w:footnote w:type="continuationSeparator" w:id="0">
    <w:p w14:paraId="5A44779B" w14:textId="77777777" w:rsidR="00C67E8F" w:rsidRDefault="00C67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D235D" w14:textId="77777777" w:rsidR="00913A58" w:rsidRDefault="00913A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58"/>
    <w:rsid w:val="00314386"/>
    <w:rsid w:val="00676121"/>
    <w:rsid w:val="006E05ED"/>
    <w:rsid w:val="00913A58"/>
    <w:rsid w:val="00A77254"/>
    <w:rsid w:val="00C67E8F"/>
    <w:rsid w:val="00FC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D144B"/>
  <w15:docId w15:val="{386AEB92-DA09-498B-B610-46ED0ED9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0C0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59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960"/>
  </w:style>
  <w:style w:type="paragraph" w:styleId="Footer">
    <w:name w:val="footer"/>
    <w:basedOn w:val="Normal"/>
    <w:link w:val="FooterChar"/>
    <w:uiPriority w:val="99"/>
    <w:unhideWhenUsed/>
    <w:rsid w:val="00BD59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96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jmhbQ4jINF8gFLPsb+SGEQBFHA==">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722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 Duvnjak</dc:creator>
  <cp:lastModifiedBy>Mesud Delagic</cp:lastModifiedBy>
  <cp:revision>3</cp:revision>
  <dcterms:created xsi:type="dcterms:W3CDTF">2021-05-24T12:27:00Z</dcterms:created>
  <dcterms:modified xsi:type="dcterms:W3CDTF">2026-04-03T22:31:00Z</dcterms:modified>
</cp:coreProperties>
</file>